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+*yqw*wfg*ajl*tji*xag*ycf*BBx*gFz*tvt*uyb*zew*-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+*eDs*cEy*dbk*lyd*lyd*ubu*isb*Dva*gvs*DoD*zfE*-</w:t>
            </w:r>
            <w:r>
              <w:rPr>
                <w:rFonts w:ascii="PDF417x" w:hAnsi="PDF417x"/>
                <w:sz w:val="24"/>
                <w:szCs w:val="24"/>
              </w:rPr>
              <w:br/>
              <w:t>+*ftw*AoC*ibB*vst*llc*oij*nck*gxk*awg*Egs*onA*-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+*ftA*wCe*uia*oBt*vvx*mic*jus*xcc*wnr*tvt*uws*-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+*xjq*agj*cns*bAf*zfn*jnE*yrq*mrs*ojt*wnu*uzq*-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654069EE" w:rsidR="00B33271" w:rsidRDefault="00F979EB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 ŽUPANIJA</w:t>
      </w:r>
    </w:p>
    <w:p w14:paraId="3E5222CA" w14:textId="5B6DEE0C" w:rsidR="000751C0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snovna škola-Scuola elementare Mate Balote Buje-Buie</w:t>
      </w:r>
    </w:p>
    <w:p w14:paraId="235230CE" w14:textId="07ED47F6" w:rsidR="00F979EB" w:rsidRDefault="00F979EB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00E8582B" w14:textId="2EE5759B" w:rsidR="000751C0" w:rsidRP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IBAN: HR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7924020061800018003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112-01/25-02/11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2105-20-01/25-3</w:t>
      </w:r>
    </w:p>
    <w:p w14:paraId="4445648A" w14:textId="68CDD723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1540E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0725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.11.2025.</w:t>
      </w:r>
    </w:p>
    <w:p w14:paraId="6288A7D1" w14:textId="77777777" w:rsidR="00B92D0F" w:rsidRPr="005245EC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12B1534" w14:textId="77777777" w:rsidR="00D707B3" w:rsidRPr="005245EC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5200B0" w14:textId="77777777" w:rsidR="00171557" w:rsidRPr="00171557" w:rsidRDefault="00171557" w:rsidP="00171557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77F12D8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7A6DCE0B" w14:textId="5E807515" w:rsidR="00171557" w:rsidRPr="00171557" w:rsidRDefault="00171557" w:rsidP="00171557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>
        <w:rPr>
          <w:rFonts w:ascii="Cambria" w:eastAsia="Times New Roman" w:hAnsi="Cambria" w:cs="Times New Roman"/>
          <w:b/>
          <w:noProof w:val="0"/>
        </w:rPr>
        <w:t>Kuhar/ica</w:t>
      </w:r>
      <w:r w:rsidRPr="00171557">
        <w:rPr>
          <w:rFonts w:ascii="Cambria" w:eastAsia="Times New Roman" w:hAnsi="Cambria" w:cs="Times New Roman"/>
          <w:b/>
          <w:noProof w:val="0"/>
        </w:rPr>
        <w:t xml:space="preserve">, na neodređeno </w:t>
      </w:r>
      <w:r>
        <w:rPr>
          <w:rFonts w:ascii="Cambria" w:eastAsia="Times New Roman" w:hAnsi="Cambria" w:cs="Times New Roman"/>
          <w:b/>
          <w:noProof w:val="0"/>
        </w:rPr>
        <w:t>ne</w:t>
      </w:r>
      <w:r w:rsidRPr="00171557">
        <w:rPr>
          <w:rFonts w:ascii="Cambria" w:eastAsia="Times New Roman" w:hAnsi="Cambria" w:cs="Times New Roman"/>
          <w:b/>
          <w:noProof w:val="0"/>
        </w:rPr>
        <w:t xml:space="preserve">puno radno vrijeme </w:t>
      </w:r>
      <w:r>
        <w:rPr>
          <w:rFonts w:ascii="Cambria" w:eastAsia="Times New Roman" w:hAnsi="Cambria" w:cs="Times New Roman"/>
          <w:b/>
          <w:noProof w:val="0"/>
        </w:rPr>
        <w:t>– 20 sati tjedno</w:t>
      </w:r>
    </w:p>
    <w:p w14:paraId="61866904" w14:textId="77777777" w:rsidR="00171557" w:rsidRPr="00171557" w:rsidRDefault="00171557" w:rsidP="00171557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171557">
        <w:rPr>
          <w:rFonts w:ascii="Cambria" w:eastAsia="Times New Roman" w:hAnsi="Cambria" w:cs="Times New Roman"/>
          <w:b/>
          <w:noProof w:val="0"/>
        </w:rPr>
        <w:t>Na natječaj se mogu prijaviti kandidati oba spola</w:t>
      </w:r>
    </w:p>
    <w:p w14:paraId="104DB489" w14:textId="7A82E73C" w:rsidR="00171557" w:rsidRDefault="00171557" w:rsidP="00171557">
      <w:pPr>
        <w:pStyle w:val="Tijeloteksta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171557">
        <w:rPr>
          <w:rFonts w:ascii="Cambria" w:eastAsia="Times New Roman" w:hAnsi="Cambria" w:cs="Times New Roman"/>
          <w:b/>
          <w:noProof w:val="0"/>
        </w:rPr>
        <w:t>Stručna sprema:</w:t>
      </w:r>
      <w:r>
        <w:rPr>
          <w:rFonts w:ascii="Cambria" w:eastAsia="Times New Roman" w:hAnsi="Cambria" w:cs="Times New Roman"/>
          <w:b/>
          <w:noProof w:val="0"/>
        </w:rPr>
        <w:t xml:space="preserve">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je završena srednja škola - program kuhar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odnosno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hr-HR"/>
        </w:rPr>
        <w:t>KV kuhar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</w:t>
      </w:r>
      <w:r w:rsidRPr="00171557">
        <w:rPr>
          <w:rFonts w:ascii="Times New Roman" w:eastAsia="Times New Roman" w:hAnsi="Times New Roman" w:cs="Times New Roman"/>
          <w:color w:val="000000" w:themeColor="text1"/>
          <w:lang w:eastAsia="hr-HR"/>
        </w:rPr>
        <w:t>i završen tečaj higijenskog minimuma</w:t>
      </w:r>
    </w:p>
    <w:p w14:paraId="0AEDD333" w14:textId="77777777" w:rsidR="001A1E60" w:rsidRPr="00171557" w:rsidRDefault="001A1E60" w:rsidP="00171557">
      <w:pPr>
        <w:pStyle w:val="Tijeloteksta"/>
        <w:rPr>
          <w:rFonts w:ascii="Times New Roman" w:eastAsia="Times New Roman" w:hAnsi="Times New Roman" w:cs="Times New Roman"/>
          <w:color w:val="000000" w:themeColor="text1"/>
          <w:lang w:eastAsia="x-none"/>
        </w:rPr>
      </w:pPr>
    </w:p>
    <w:p w14:paraId="7C77A361" w14:textId="5DA28213" w:rsidR="00171557" w:rsidRPr="00171557" w:rsidRDefault="00171557" w:rsidP="00171557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bCs/>
          <w:noProof w:val="0"/>
        </w:rPr>
      </w:pPr>
      <w:r>
        <w:rPr>
          <w:rFonts w:ascii="Cambria" w:eastAsia="Times New Roman" w:hAnsi="Cambria" w:cs="Times New Roman"/>
          <w:b/>
          <w:noProof w:val="0"/>
        </w:rPr>
        <w:t xml:space="preserve">Uvjeti: </w:t>
      </w:r>
      <w:r w:rsidRPr="00171557">
        <w:rPr>
          <w:rFonts w:ascii="Cambria" w:eastAsia="Times New Roman" w:hAnsi="Cambria" w:cs="Times New Roman"/>
          <w:b/>
          <w:noProof w:val="0"/>
        </w:rPr>
        <w:t>prema Zakonu o odgoju i obrazovanju u osnovnoj i srednjoj školi (</w:t>
      </w:r>
      <w:r w:rsidRPr="00171557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171557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171557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171557">
        <w:rPr>
          <w:rFonts w:ascii="Cambria" w:eastAsia="Times New Roman" w:hAnsi="Cambria" w:cs="Times New Roman"/>
          <w:noProof w:val="0"/>
          <w:sz w:val="24"/>
          <w:szCs w:val="24"/>
        </w:rPr>
        <w:t>,</w:t>
      </w:r>
      <w:r w:rsidRPr="00171557">
        <w:rPr>
          <w:rFonts w:ascii="Cambria" w:eastAsia="Times New Roman" w:hAnsi="Cambria" w:cs="Times New Roman"/>
          <w:b/>
          <w:noProof w:val="0"/>
          <w:sz w:val="24"/>
          <w:szCs w:val="24"/>
        </w:rPr>
        <w:t>152/14, 7/17, 68/18, 98/19, 64/20, 151/22, 156/23</w:t>
      </w:r>
      <w:r>
        <w:rPr>
          <w:rFonts w:ascii="Cambria" w:eastAsia="Times New Roman" w:hAnsi="Cambria" w:cs="Times New Roman"/>
          <w:b/>
          <w:noProof w:val="0"/>
        </w:rPr>
        <w:t xml:space="preserve"> i </w:t>
      </w:r>
      <w:r w:rsidRPr="00171557">
        <w:rPr>
          <w:rFonts w:ascii="Cambria" w:eastAsia="Times New Roman" w:hAnsi="Cambria" w:cs="Times New Roman"/>
          <w:b/>
          <w:noProof w:val="0"/>
        </w:rPr>
        <w:t xml:space="preserve">prema Pravilniku o </w:t>
      </w:r>
      <w:r w:rsidRPr="00171557">
        <w:rPr>
          <w:rFonts w:ascii="Cambria" w:eastAsia="Times New Roman" w:hAnsi="Cambria" w:cs="Arial"/>
          <w:b/>
          <w:bCs/>
          <w:noProof w:val="0"/>
        </w:rPr>
        <w:t xml:space="preserve">djelokrugu rada tajnika te administrativno–tehničkim i pomoćnim poslovima koji se obavljaju u osnovnoj školi (Narodne novine broj 40 /14, 71/25, 74/25-ispravak) </w:t>
      </w:r>
    </w:p>
    <w:p w14:paraId="14C3B3C8" w14:textId="77777777" w:rsidR="00171557" w:rsidRPr="00171557" w:rsidRDefault="00171557" w:rsidP="00171557">
      <w:pPr>
        <w:ind w:left="720"/>
        <w:contextualSpacing/>
        <w:jc w:val="both"/>
        <w:rPr>
          <w:rFonts w:ascii="Cambria" w:eastAsia="Times New Roman" w:hAnsi="Cambria" w:cs="Times New Roman"/>
          <w:b/>
          <w:bCs/>
          <w:noProof w:val="0"/>
        </w:rPr>
      </w:pPr>
    </w:p>
    <w:p w14:paraId="05762CBD" w14:textId="7EB364B1" w:rsid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b/>
          <w:noProof w:val="0"/>
        </w:rPr>
        <w:t xml:space="preserve">Uz prijavu na natječaj kandidati moraju priložiti </w:t>
      </w:r>
      <w:r w:rsidRPr="00171557">
        <w:rPr>
          <w:rFonts w:ascii="Cambria" w:eastAsia="Times New Roman" w:hAnsi="Cambria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432ACBF8" w14:textId="4ED55245" w:rsidR="00171557" w:rsidRPr="00171557" w:rsidRDefault="00171557" w:rsidP="00171557">
      <w:pPr>
        <w:pStyle w:val="Odlomakpopisa"/>
        <w:numPr>
          <w:ilvl w:val="0"/>
          <w:numId w:val="1"/>
        </w:numPr>
        <w:jc w:val="both"/>
        <w:rPr>
          <w:rFonts w:ascii="Cambria" w:eastAsia="Times New Roman" w:hAnsi="Cambria" w:cs="Times New Roman"/>
          <w:noProof w:val="0"/>
        </w:rPr>
      </w:pPr>
      <w:r>
        <w:rPr>
          <w:rFonts w:ascii="Cambria" w:eastAsia="Times New Roman" w:hAnsi="Cambria" w:cs="Times New Roman"/>
          <w:noProof w:val="0"/>
        </w:rPr>
        <w:t>svjedodžbe/diplome o završenoj stručnoj spremi</w:t>
      </w:r>
    </w:p>
    <w:p w14:paraId="6CBA2388" w14:textId="77777777" w:rsidR="00171557" w:rsidRPr="00171557" w:rsidRDefault="00171557" w:rsidP="00171557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elektronički zapis ili potvrdu o radno pravnom statusu (HZMO)</w:t>
      </w:r>
    </w:p>
    <w:p w14:paraId="3BF1FD8F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4D99392E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59815C7E" w14:textId="77777777" w:rsidR="00171557" w:rsidRPr="00171557" w:rsidRDefault="00171557" w:rsidP="00171557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3981539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31708FCA" w14:textId="77777777" w:rsidR="00171557" w:rsidRPr="00171557" w:rsidRDefault="00171557" w:rsidP="00171557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/>
        </w:rPr>
      </w:pPr>
      <w:hyperlink r:id="rId18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https://branitelji.gov.hr/UserDocsImages//dokumenti/Nikola//popis%20dokaza%20za%20ostvarivanje%20prava%20prednosti%20pri%20zapošljavanju-%20ZOHBDR%202021.pdf</w:t>
        </w:r>
      </w:hyperlink>
    </w:p>
    <w:p w14:paraId="4648FA3F" w14:textId="77777777" w:rsidR="00171557" w:rsidRPr="00171557" w:rsidRDefault="00171557" w:rsidP="00171557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  <w:lang w:eastAsia="hr-HR"/>
        </w:rPr>
        <w:t xml:space="preserve"> </w:t>
      </w:r>
      <w:hyperlink r:id="rId19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8B50FC3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52A939D" w14:textId="77777777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D6DDDE7" w14:textId="111E8683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171557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 xml:space="preserve">), na adresu Osnovna škola Mate Balote Buje, 52 460 Buje, Školski brijeg 2 s naznakom „Za natječaj </w:t>
      </w:r>
      <w:r>
        <w:rPr>
          <w:rFonts w:ascii="Cambria" w:eastAsia="Times New Roman" w:hAnsi="Cambria" w:cs="Times New Roman"/>
          <w:noProof w:val="0"/>
          <w:color w:val="000000"/>
          <w:lang w:eastAsia="hr-HR"/>
        </w:rPr>
        <w:t>kuhar/ica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“.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5AE6C80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171557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6294779A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74BD3E9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1B16F30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5A7755F2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</w:p>
    <w:p w14:paraId="2F291A6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171557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171557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171557">
        <w:rPr>
          <w:rFonts w:ascii="Cambria" w:eastAsia="Times New Roman" w:hAnsi="Cambria" w:cs="Times New Roman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56E6B4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Prava kandidata i postupanje u odnosu na njegove osobne podatke može vidjeti na web stranici škole os-mbalote-buje.skole.hr/skola/gdpr.</w:t>
      </w:r>
    </w:p>
    <w:p w14:paraId="6B96B1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0F139832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7DC2607F" w14:textId="77777777" w:rsidR="00171557" w:rsidRPr="00171557" w:rsidRDefault="00171557" w:rsidP="00171557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24FCDA08" w14:textId="77777777" w:rsidR="00171557" w:rsidRPr="00171557" w:rsidRDefault="00171557" w:rsidP="00171557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13451BFB" w14:textId="4AF6D340" w:rsidR="00171557" w:rsidRPr="00171557" w:rsidRDefault="00171557" w:rsidP="00171557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Natječaj je objavljen </w:t>
      </w:r>
      <w:r>
        <w:rPr>
          <w:rFonts w:ascii="Cambria" w:eastAsia="Times New Roman" w:hAnsi="Cambria" w:cs="Times New Roman"/>
          <w:noProof w:val="0"/>
          <w:color w:val="D9D9D9"/>
        </w:rPr>
        <w:t>2</w:t>
      </w:r>
      <w:r w:rsidR="000725D0">
        <w:rPr>
          <w:rFonts w:ascii="Cambria" w:eastAsia="Times New Roman" w:hAnsi="Cambria" w:cs="Times New Roman"/>
          <w:noProof w:val="0"/>
          <w:color w:val="D9D9D9"/>
        </w:rPr>
        <w:t>1</w:t>
      </w: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. </w:t>
      </w:r>
      <w:r>
        <w:rPr>
          <w:rFonts w:ascii="Cambria" w:eastAsia="Times New Roman" w:hAnsi="Cambria" w:cs="Times New Roman"/>
          <w:noProof w:val="0"/>
          <w:color w:val="D9D9D9"/>
        </w:rPr>
        <w:t>11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2025. na web stranici škole, oglasnoj ploči škole, web stranici HZZ-a te oglasnoj ploči HZZ-a</w:t>
      </w:r>
    </w:p>
    <w:p w14:paraId="5D4F33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2DE46E4B" w14:textId="5A27EC5E" w:rsidR="00D707B3" w:rsidRPr="00171557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102793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5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25D0"/>
    <w:rsid w:val="000751C0"/>
    <w:rsid w:val="00091418"/>
    <w:rsid w:val="001540E7"/>
    <w:rsid w:val="00171557"/>
    <w:rsid w:val="001A1E60"/>
    <w:rsid w:val="00220C1D"/>
    <w:rsid w:val="00275B0C"/>
    <w:rsid w:val="00347D72"/>
    <w:rsid w:val="003F0548"/>
    <w:rsid w:val="003F65C1"/>
    <w:rsid w:val="005245EC"/>
    <w:rsid w:val="005A798F"/>
    <w:rsid w:val="00693AB1"/>
    <w:rsid w:val="00860AF5"/>
    <w:rsid w:val="0086194F"/>
    <w:rsid w:val="008A562A"/>
    <w:rsid w:val="008C5FE5"/>
    <w:rsid w:val="009B5A20"/>
    <w:rsid w:val="009B7A12"/>
    <w:rsid w:val="00A836D0"/>
    <w:rsid w:val="00AC35DA"/>
    <w:rsid w:val="00B33271"/>
    <w:rsid w:val="00B43B96"/>
    <w:rsid w:val="00B92D0F"/>
    <w:rsid w:val="00C9578C"/>
    <w:rsid w:val="00D707B3"/>
    <w:rsid w:val="00E55405"/>
    <w:rsid w:val="00E7748E"/>
    <w:rsid w:val="00F525A2"/>
    <w:rsid w:val="00F84D62"/>
    <w:rsid w:val="00F979EB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7155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1715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7155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5</cp:revision>
  <cp:lastPrinted>2014-11-26T14:09:00Z</cp:lastPrinted>
  <dcterms:created xsi:type="dcterms:W3CDTF">2025-11-19T11:55:00Z</dcterms:created>
  <dcterms:modified xsi:type="dcterms:W3CDTF">2025-11-21T07:26:00Z</dcterms:modified>
</cp:coreProperties>
</file>